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様式第１０号（その１）（第５条関係）</w:t>
      </w:r>
    </w:p>
    <w:p>
      <w:pPr>
        <w:pStyle w:val="0"/>
        <w:rPr>
          <w:rFonts w:hint="default" w:asciiTheme="minorEastAsia" w:hAnsiTheme="minorEastAsia"/>
        </w:rPr>
      </w:pPr>
    </w:p>
    <w:p>
      <w:pPr>
        <w:pStyle w:val="0"/>
        <w:ind w:firstLine="2100" w:firstLineChars="1000"/>
        <w:rPr>
          <w:rFonts w:hint="default" w:asciiTheme="minorEastAsia" w:hAnsiTheme="minorEastAsia"/>
          <w:kern w:val="0"/>
        </w:rPr>
      </w:pPr>
      <w:r>
        <w:rPr>
          <w:rFonts w:hint="eastAsia" w:asciiTheme="minorEastAsia" w:hAnsiTheme="minorEastAsia"/>
          <w:kern w:val="0"/>
        </w:rPr>
        <w:t>選挙運動用自動車使用証明書（自動車）</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kern w:val="0"/>
        </w:rPr>
      </w:pPr>
    </w:p>
    <w:p>
      <w:pPr>
        <w:pStyle w:val="0"/>
        <w:ind w:firstLine="210" w:firstLineChars="100"/>
        <w:jc w:val="left"/>
        <w:rPr>
          <w:rFonts w:hint="default" w:asciiTheme="minorEastAsia" w:hAnsiTheme="minorEastAsia"/>
        </w:rPr>
      </w:pPr>
      <w:r>
        <w:rPr>
          <w:rFonts w:hint="eastAsia" w:asciiTheme="minorEastAsia" w:hAnsiTheme="minorEastAsia"/>
        </w:rPr>
        <w:t>次のとおり選挙運動用自動車を使用したものであることを証明します。</w:t>
      </w:r>
    </w:p>
    <w:p>
      <w:pPr>
        <w:pStyle w:val="0"/>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2235"/>
        <w:gridCol w:w="567"/>
        <w:gridCol w:w="1417"/>
        <w:gridCol w:w="1843"/>
        <w:gridCol w:w="1134"/>
        <w:gridCol w:w="1789"/>
      </w:tblGrid>
      <w:tr>
        <w:trPr/>
        <w:tc>
          <w:tcPr>
            <w:tcW w:w="2802" w:type="dxa"/>
            <w:gridSpan w:val="2"/>
            <w:vAlign w:val="top"/>
          </w:tcPr>
          <w:p>
            <w:pPr>
              <w:pStyle w:val="0"/>
              <w:jc w:val="center"/>
              <w:rPr>
                <w:rFonts w:hint="default" w:asciiTheme="minorEastAsia" w:hAnsiTheme="minorEastAsia"/>
              </w:rPr>
            </w:pPr>
            <w:r>
              <w:rPr>
                <w:rFonts w:hint="eastAsia" w:asciiTheme="minorEastAsia" w:hAnsiTheme="minorEastAsia"/>
              </w:rPr>
              <w:t>運送等契約区分</w:t>
            </w:r>
          </w:p>
          <w:p>
            <w:pPr>
              <w:pStyle w:val="0"/>
              <w:jc w:val="left"/>
              <w:rPr>
                <w:rFonts w:hint="default" w:asciiTheme="minorEastAsia" w:hAnsiTheme="minorEastAsia"/>
              </w:rPr>
            </w:pPr>
            <w:r>
              <w:rPr>
                <w:rFonts w:hint="eastAsia" w:asciiTheme="minorEastAsia" w:hAnsiTheme="minorEastAsia"/>
              </w:rPr>
              <w:t>（該当する方の番号に〇をしてください。）</w:t>
            </w:r>
          </w:p>
        </w:tc>
        <w:tc>
          <w:tcPr>
            <w:tcW w:w="3260" w:type="dxa"/>
            <w:gridSpan w:val="2"/>
            <w:vAlign w:val="top"/>
          </w:tcPr>
          <w:p>
            <w:pPr>
              <w:pStyle w:val="0"/>
              <w:ind w:left="210" w:hanging="210" w:hangingChars="100"/>
              <w:jc w:val="left"/>
              <w:rPr>
                <w:rFonts w:hint="default" w:asciiTheme="minorEastAsia" w:hAnsiTheme="minorEastAsia"/>
              </w:rPr>
            </w:pPr>
            <w:r>
              <w:rPr>
                <w:rFonts w:hint="eastAsia" w:asciiTheme="minorEastAsia" w:hAnsiTheme="minorEastAsia"/>
              </w:rPr>
              <w:t>１　一般乗用旅客自動車運送事業者との運送契約による場合</w:t>
            </w:r>
          </w:p>
        </w:tc>
        <w:tc>
          <w:tcPr>
            <w:tcW w:w="2923" w:type="dxa"/>
            <w:gridSpan w:val="2"/>
            <w:vAlign w:val="top"/>
          </w:tcPr>
          <w:p>
            <w:pPr>
              <w:pStyle w:val="0"/>
              <w:ind w:left="210" w:hanging="210" w:hangingChars="100"/>
              <w:jc w:val="left"/>
              <w:rPr>
                <w:rFonts w:hint="default" w:asciiTheme="minorEastAsia" w:hAnsiTheme="minorEastAsia"/>
              </w:rPr>
            </w:pPr>
            <w:r>
              <w:rPr>
                <w:rFonts w:hint="eastAsia" w:asciiTheme="minorEastAsia" w:hAnsiTheme="minorEastAsia"/>
              </w:rPr>
              <w:t>２　左に掲げる場合以外の場合</w:t>
            </w:r>
          </w:p>
        </w:tc>
      </w:tr>
      <w:tr>
        <w:trPr/>
        <w:tc>
          <w:tcPr>
            <w:tcW w:w="2802" w:type="dxa"/>
            <w:gridSpan w:val="2"/>
            <w:vAlign w:val="top"/>
          </w:tcPr>
          <w:p>
            <w:pPr>
              <w:pStyle w:val="0"/>
              <w:jc w:val="left"/>
              <w:rPr>
                <w:rFonts w:hint="default" w:asciiTheme="minorEastAsia" w:hAnsiTheme="minorEastAsia"/>
              </w:rPr>
            </w:pPr>
            <w:r>
              <w:rPr>
                <w:rFonts w:hint="eastAsia" w:asciiTheme="minorEastAsia" w:hAnsiTheme="minorEastAsia"/>
              </w:rPr>
              <w:t>運送事業者等の氏名又は名称及び住所並びに法人にあっては代表者の氏名</w:t>
            </w:r>
          </w:p>
        </w:tc>
        <w:tc>
          <w:tcPr>
            <w:tcW w:w="6183" w:type="dxa"/>
            <w:gridSpan w:val="4"/>
            <w:vAlign w:val="top"/>
          </w:tcPr>
          <w:p>
            <w:pPr>
              <w:pStyle w:val="0"/>
              <w:jc w:val="left"/>
              <w:rPr>
                <w:rFonts w:hint="default" w:asciiTheme="minorEastAsia" w:hAnsiTheme="minorEastAsia"/>
              </w:rPr>
            </w:pPr>
          </w:p>
        </w:tc>
      </w:tr>
      <w:tr>
        <w:trPr/>
        <w:tc>
          <w:tcPr>
            <w:tcW w:w="2235" w:type="dxa"/>
            <w:vAlign w:val="center"/>
          </w:tcPr>
          <w:p>
            <w:pPr>
              <w:pStyle w:val="0"/>
              <w:jc w:val="left"/>
              <w:rPr>
                <w:rFonts w:hint="default" w:asciiTheme="minorEastAsia" w:hAnsiTheme="minorEastAsia"/>
              </w:rPr>
            </w:pPr>
            <w:r>
              <w:rPr>
                <w:rFonts w:hint="eastAsia" w:asciiTheme="minorEastAsia" w:hAnsiTheme="minorEastAsia"/>
              </w:rPr>
              <w:t>車種及び自動車登録番号又は車両番号</w:t>
            </w:r>
          </w:p>
        </w:tc>
        <w:tc>
          <w:tcPr>
            <w:tcW w:w="1984" w:type="dxa"/>
            <w:gridSpan w:val="2"/>
            <w:vAlign w:val="center"/>
          </w:tcPr>
          <w:p>
            <w:pPr>
              <w:pStyle w:val="0"/>
              <w:jc w:val="center"/>
              <w:rPr>
                <w:rFonts w:hint="default" w:asciiTheme="minorEastAsia" w:hAnsiTheme="minorEastAsia"/>
              </w:rPr>
            </w:pPr>
            <w:r>
              <w:rPr>
                <w:rFonts w:hint="eastAsia" w:asciiTheme="minorEastAsia" w:hAnsiTheme="minorEastAsia"/>
              </w:rPr>
              <w:t>運送等年月日</w:t>
            </w:r>
          </w:p>
        </w:tc>
        <w:tc>
          <w:tcPr>
            <w:tcW w:w="2977" w:type="dxa"/>
            <w:gridSpan w:val="2"/>
            <w:vAlign w:val="center"/>
          </w:tcPr>
          <w:p>
            <w:pPr>
              <w:pStyle w:val="0"/>
              <w:jc w:val="center"/>
              <w:rPr>
                <w:rFonts w:hint="default" w:asciiTheme="minorEastAsia" w:hAnsiTheme="minorEastAsia"/>
              </w:rPr>
            </w:pPr>
            <w:r>
              <w:rPr>
                <w:rFonts w:hint="eastAsia" w:asciiTheme="minorEastAsia" w:hAnsiTheme="minorEastAsia"/>
                <w:spacing w:val="91"/>
                <w:kern w:val="0"/>
                <w:fitText w:val="1785" w:id="1"/>
              </w:rPr>
              <w:t>運送等金</w:t>
            </w:r>
            <w:r>
              <w:rPr>
                <w:rFonts w:hint="eastAsia" w:asciiTheme="minorEastAsia" w:hAnsiTheme="minorEastAsia"/>
                <w:spacing w:val="3"/>
                <w:kern w:val="0"/>
                <w:fitText w:val="1785" w:id="1"/>
              </w:rPr>
              <w:t>額</w:t>
            </w:r>
          </w:p>
        </w:tc>
        <w:tc>
          <w:tcPr>
            <w:tcW w:w="1789" w:type="dxa"/>
            <w:vAlign w:val="center"/>
          </w:tcPr>
          <w:p>
            <w:pPr>
              <w:pStyle w:val="0"/>
              <w:jc w:val="center"/>
              <w:rPr>
                <w:rFonts w:hint="default" w:asciiTheme="minorEastAsia" w:hAnsiTheme="minorEastAsia"/>
              </w:rPr>
            </w:pPr>
            <w:r>
              <w:rPr>
                <w:rFonts w:hint="eastAsia" w:asciiTheme="minorEastAsia" w:hAnsiTheme="minorEastAsia"/>
              </w:rPr>
              <w:t>備　　　考</w:t>
            </w:r>
          </w:p>
        </w:tc>
      </w:tr>
      <w:tr>
        <w:trPr/>
        <w:tc>
          <w:tcPr>
            <w:tcW w:w="2235" w:type="dxa"/>
            <w:vAlign w:val="top"/>
          </w:tcPr>
          <w:p>
            <w:pPr>
              <w:pStyle w:val="0"/>
              <w:jc w:val="left"/>
              <w:rPr>
                <w:rFonts w:hint="default" w:asciiTheme="minorEastAsia" w:hAnsiTheme="minorEastAsia"/>
              </w:rPr>
            </w:pPr>
          </w:p>
        </w:tc>
        <w:tc>
          <w:tcPr>
            <w:tcW w:w="1984" w:type="dxa"/>
            <w:gridSpan w:val="2"/>
            <w:vAlign w:val="top"/>
          </w:tcPr>
          <w:p>
            <w:pPr>
              <w:pStyle w:val="0"/>
              <w:jc w:val="left"/>
              <w:rPr>
                <w:rFonts w:hint="default" w:asciiTheme="minorEastAsia" w:hAnsiTheme="minorEastAsia"/>
              </w:rPr>
            </w:pPr>
          </w:p>
        </w:tc>
        <w:tc>
          <w:tcPr>
            <w:tcW w:w="2977" w:type="dxa"/>
            <w:gridSpan w:val="2"/>
            <w:vAlign w:val="top"/>
          </w:tcPr>
          <w:p>
            <w:pPr>
              <w:pStyle w:val="0"/>
              <w:jc w:val="left"/>
              <w:rPr>
                <w:rFonts w:hint="default" w:asciiTheme="minorEastAsia" w:hAnsiTheme="minorEastAsia"/>
              </w:rPr>
            </w:pPr>
          </w:p>
        </w:tc>
        <w:tc>
          <w:tcPr>
            <w:tcW w:w="1789" w:type="dxa"/>
            <w:vAlign w:val="top"/>
          </w:tcPr>
          <w:p>
            <w:pPr>
              <w:pStyle w:val="0"/>
              <w:jc w:val="left"/>
              <w:rPr>
                <w:rFonts w:hint="default" w:asciiTheme="minorEastAsia" w:hAnsiTheme="minorEastAsia"/>
              </w:rPr>
            </w:pPr>
          </w:p>
        </w:tc>
      </w:tr>
      <w:tr>
        <w:trPr/>
        <w:tc>
          <w:tcPr>
            <w:tcW w:w="2235" w:type="dxa"/>
            <w:vAlign w:val="top"/>
          </w:tcPr>
          <w:p>
            <w:pPr>
              <w:pStyle w:val="0"/>
              <w:jc w:val="left"/>
              <w:rPr>
                <w:rFonts w:hint="default" w:asciiTheme="minorEastAsia" w:hAnsiTheme="minorEastAsia"/>
              </w:rPr>
            </w:pPr>
          </w:p>
        </w:tc>
        <w:tc>
          <w:tcPr>
            <w:tcW w:w="1984" w:type="dxa"/>
            <w:gridSpan w:val="2"/>
            <w:vAlign w:val="top"/>
          </w:tcPr>
          <w:p>
            <w:pPr>
              <w:pStyle w:val="0"/>
              <w:jc w:val="left"/>
              <w:rPr>
                <w:rFonts w:hint="default" w:asciiTheme="minorEastAsia" w:hAnsiTheme="minorEastAsia"/>
              </w:rPr>
            </w:pPr>
          </w:p>
        </w:tc>
        <w:tc>
          <w:tcPr>
            <w:tcW w:w="2977" w:type="dxa"/>
            <w:gridSpan w:val="2"/>
            <w:vAlign w:val="top"/>
          </w:tcPr>
          <w:p>
            <w:pPr>
              <w:pStyle w:val="0"/>
              <w:jc w:val="left"/>
              <w:rPr>
                <w:rFonts w:hint="default" w:asciiTheme="minorEastAsia" w:hAnsiTheme="minorEastAsia"/>
              </w:rPr>
            </w:pPr>
          </w:p>
        </w:tc>
        <w:tc>
          <w:tcPr>
            <w:tcW w:w="1789" w:type="dxa"/>
            <w:vAlign w:val="top"/>
          </w:tcPr>
          <w:p>
            <w:pPr>
              <w:pStyle w:val="0"/>
              <w:jc w:val="left"/>
              <w:rPr>
                <w:rFonts w:hint="default" w:asciiTheme="minorEastAsia" w:hAnsiTheme="minorEastAsia"/>
              </w:rPr>
            </w:pPr>
          </w:p>
        </w:tc>
      </w:tr>
      <w:tr>
        <w:trPr/>
        <w:tc>
          <w:tcPr>
            <w:tcW w:w="2235" w:type="dxa"/>
            <w:vAlign w:val="top"/>
          </w:tcPr>
          <w:p>
            <w:pPr>
              <w:pStyle w:val="0"/>
              <w:jc w:val="left"/>
              <w:rPr>
                <w:rFonts w:hint="default" w:asciiTheme="minorEastAsia" w:hAnsiTheme="minorEastAsia"/>
              </w:rPr>
            </w:pPr>
          </w:p>
        </w:tc>
        <w:tc>
          <w:tcPr>
            <w:tcW w:w="1984" w:type="dxa"/>
            <w:gridSpan w:val="2"/>
            <w:vAlign w:val="top"/>
          </w:tcPr>
          <w:p>
            <w:pPr>
              <w:pStyle w:val="0"/>
              <w:jc w:val="left"/>
              <w:rPr>
                <w:rFonts w:hint="default" w:asciiTheme="minorEastAsia" w:hAnsiTheme="minorEastAsia"/>
              </w:rPr>
            </w:pPr>
          </w:p>
        </w:tc>
        <w:tc>
          <w:tcPr>
            <w:tcW w:w="2977" w:type="dxa"/>
            <w:gridSpan w:val="2"/>
            <w:vAlign w:val="top"/>
          </w:tcPr>
          <w:p>
            <w:pPr>
              <w:pStyle w:val="0"/>
              <w:jc w:val="left"/>
              <w:rPr>
                <w:rFonts w:hint="default" w:asciiTheme="minorEastAsia" w:hAnsiTheme="minorEastAsia"/>
              </w:rPr>
            </w:pPr>
          </w:p>
        </w:tc>
        <w:tc>
          <w:tcPr>
            <w:tcW w:w="1789" w:type="dxa"/>
            <w:vAlign w:val="top"/>
          </w:tcPr>
          <w:p>
            <w:pPr>
              <w:pStyle w:val="0"/>
              <w:jc w:val="left"/>
              <w:rPr>
                <w:rFonts w:hint="default" w:asciiTheme="minorEastAsia" w:hAnsiTheme="minorEastAsia"/>
              </w:rPr>
            </w:pPr>
          </w:p>
        </w:tc>
      </w:tr>
    </w:tbl>
    <w:p>
      <w:pPr>
        <w:pStyle w:val="0"/>
        <w:ind w:left="600" w:hanging="600" w:hangingChars="300"/>
        <w:jc w:val="left"/>
        <w:rPr>
          <w:rFonts w:hint="default" w:asciiTheme="minorEastAsia" w:hAnsiTheme="minorEastAsia"/>
          <w:sz w:val="20"/>
        </w:rPr>
      </w:pPr>
      <w:r>
        <w:rPr>
          <w:rFonts w:hint="eastAsia" w:asciiTheme="minorEastAsia" w:hAnsiTheme="minorEastAsia"/>
          <w:sz w:val="20"/>
        </w:rPr>
        <w:t>注　１　この証明書は、使用の実績に基づいて、運営事業者等ごとに別々に作成し、候補者から運送事業者等に提出してください。</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２　運送事業者等が町に支払を請求するときは、この証明書を請求書に添付してください。</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３　この証明書を発行した候補者について供託物が没収された場合には、運送事業者等は、町に支払を請求することはできません。</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４　町費負担の限度額は、選挙運動用自動車</w:t>
      </w:r>
      <w:r>
        <w:rPr>
          <w:rFonts w:hint="eastAsia" w:asciiTheme="minorEastAsia" w:hAnsiTheme="minorEastAsia"/>
          <w:sz w:val="20"/>
        </w:rPr>
        <w:t>1</w:t>
      </w:r>
      <w:r>
        <w:rPr>
          <w:rFonts w:hint="eastAsia" w:asciiTheme="minorEastAsia" w:hAnsiTheme="minorEastAsia"/>
          <w:sz w:val="20"/>
        </w:rPr>
        <w:t>台につき</w:t>
      </w:r>
      <w:r>
        <w:rPr>
          <w:rFonts w:hint="eastAsia" w:asciiTheme="minorEastAsia" w:hAnsiTheme="minorEastAsia"/>
          <w:sz w:val="20"/>
        </w:rPr>
        <w:t>1</w:t>
      </w:r>
      <w:r>
        <w:rPr>
          <w:rFonts w:hint="eastAsia" w:asciiTheme="minorEastAsia" w:hAnsiTheme="minorEastAsia"/>
          <w:sz w:val="20"/>
        </w:rPr>
        <w:t>日当たり次の金額までです。</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（１）　一般旅客自動車運送事業者との運送契約による場合　　</w:t>
      </w:r>
      <w:r>
        <w:rPr>
          <w:rFonts w:hint="eastAsia" w:asciiTheme="minorEastAsia" w:hAnsiTheme="minorEastAsia"/>
          <w:sz w:val="20"/>
        </w:rPr>
        <w:t>64,500</w:t>
      </w:r>
      <w:r>
        <w:rPr>
          <w:rFonts w:hint="eastAsia" w:asciiTheme="minorEastAsia" w:hAnsiTheme="minorEastAsia"/>
          <w:sz w:val="20"/>
        </w:rPr>
        <w:t>　円</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（２）　（１）以外の場合　　　　　　　　　　　　　　　　　</w:t>
      </w:r>
      <w:r>
        <w:rPr>
          <w:rFonts w:hint="eastAsia" w:asciiTheme="minorEastAsia" w:hAnsiTheme="minorEastAsia"/>
          <w:sz w:val="20"/>
        </w:rPr>
        <w:t>16,1</w:t>
      </w:r>
      <w:bookmarkStart w:id="0" w:name="_GoBack"/>
      <w:bookmarkEnd w:id="0"/>
      <w:r>
        <w:rPr>
          <w:rFonts w:hint="eastAsia" w:asciiTheme="minorEastAsia" w:hAnsiTheme="minorEastAsia"/>
          <w:sz w:val="20"/>
        </w:rPr>
        <w:t>00</w:t>
      </w:r>
      <w:r>
        <w:rPr>
          <w:rFonts w:hint="eastAsia" w:asciiTheme="minorEastAsia" w:hAnsiTheme="minorEastAsia"/>
          <w:sz w:val="20"/>
        </w:rPr>
        <w:t>　円</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５　同一の日において一般旅客自動車運送事業者との運送契約（「運送等契約区分」欄の１）とそれ以外の契約（「運送等契約区分」欄の２）とのいずれもが締結された場合には、町費負担の対象となるのは候補者の指定する一の契約に限られていますので、その指定した一の契約にみについて記載してください。</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６　同一の日において、一般乗用旅客自動車運送事業者との運送契約又はそれ以外の契約により２台以上の選挙運動用自動車が使用される場合には、町費負担の対象となるのは候補者の指定する</w:t>
      </w:r>
      <w:r>
        <w:rPr>
          <w:rFonts w:hint="eastAsia" w:asciiTheme="minorEastAsia" w:hAnsiTheme="minorEastAsia"/>
          <w:sz w:val="20"/>
        </w:rPr>
        <w:t>1</w:t>
      </w:r>
      <w:r>
        <w:rPr>
          <w:rFonts w:hint="eastAsia" w:asciiTheme="minorEastAsia" w:hAnsiTheme="minorEastAsia"/>
          <w:sz w:val="20"/>
        </w:rPr>
        <w:t>台に限られていますので、その指定をした</w:t>
      </w:r>
      <w:r>
        <w:rPr>
          <w:rFonts w:hint="eastAsia" w:asciiTheme="minorEastAsia" w:hAnsiTheme="minorEastAsia"/>
          <w:sz w:val="20"/>
        </w:rPr>
        <w:t>1</w:t>
      </w:r>
      <w:r>
        <w:rPr>
          <w:rFonts w:hint="eastAsia" w:asciiTheme="minorEastAsia" w:hAnsiTheme="minorEastAsia"/>
          <w:sz w:val="20"/>
        </w:rPr>
        <w:t>台のみについて記載してください。</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７　５の場合における候補者の指定した契約以外の契約及び６の場合における候補者の指定した選挙運動用自動車以外の選挙運動用自動車については、町に支払を請求することはできません。</w:t>
      </w: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144</Words>
  <Characters>825</Characters>
  <Application>JUST Note</Application>
  <Lines>6</Lines>
  <Paragraphs>1</Paragraphs>
  <CharactersWithSpaces>968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2020-11-10T10:21:00Z</dcterms:created>
  <dcterms:modified xsi:type="dcterms:W3CDTF">2022-02-25T08:52:05Z</dcterms:modified>
  <cp:revision>8</cp:revision>
</cp:coreProperties>
</file>